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A79F4">
      <w:pPr>
        <w:jc w:val="center"/>
        <w:rPr>
          <w:rFonts w:ascii="Times New Roman" w:hAnsi="Times New Roman" w:eastAsia="宋体" w:cs="宋体"/>
          <w:b/>
          <w:bCs/>
          <w:sz w:val="28"/>
          <w:szCs w:val="28"/>
          <w14:ligatures w14:val="none"/>
        </w:rPr>
      </w:pPr>
      <w:r>
        <w:rPr>
          <w:rFonts w:hint="eastAsia" w:ascii="Times New Roman" w:hAnsi="Times New Roman" w:eastAsia="宋体" w:cs="宋体"/>
          <w:b/>
          <w:bCs/>
          <w:sz w:val="28"/>
          <w:szCs w:val="28"/>
          <w14:ligatures w14:val="none"/>
        </w:rPr>
        <w:t>课程思政课题研究选题</w:t>
      </w:r>
    </w:p>
    <w:p w14:paraId="2F8567DF">
      <w:pPr>
        <w:numPr>
          <w:ilvl w:val="0"/>
          <w:numId w:val="1"/>
        </w:numPr>
        <w:rPr>
          <w:rFonts w:hint="eastAsia" w:ascii="Times New Roman" w:hAnsi="Times New Roman" w:eastAsia="Arial" w:cs="Arial"/>
          <w:color w:val="333333"/>
          <w:sz w:val="28"/>
          <w:szCs w:val="28"/>
          <w:shd w:val="clear" w:color="auto" w:fill="FFFFFF"/>
          <w14:ligatures w14:val="none"/>
        </w:rPr>
      </w:pPr>
      <w:r>
        <w:rPr>
          <w:rFonts w:hint="eastAsia" w:ascii="Times New Roman" w:hAnsi="Times New Roman" w:eastAsia="宋体" w:cs="宋体"/>
          <w:sz w:val="28"/>
          <w:szCs w:val="28"/>
          <w14:ligatures w14:val="none"/>
        </w:rPr>
        <w:t>三全育人背景下高职院校课程思政教学探索与研究</w:t>
      </w:r>
    </w:p>
    <w:p w14:paraId="232824DF">
      <w:pPr>
        <w:numPr>
          <w:ilvl w:val="0"/>
          <w:numId w:val="1"/>
        </w:numPr>
        <w:rPr>
          <w:rFonts w:hint="eastAsia" w:ascii="Times New Roman" w:hAnsi="Times New Roman" w:eastAsia="Arial" w:cs="Arial"/>
          <w:color w:val="333333"/>
          <w:sz w:val="28"/>
          <w:szCs w:val="28"/>
          <w:shd w:val="clear" w:color="auto" w:fill="FFFFFF"/>
          <w14:ligatures w14:val="none"/>
        </w:rPr>
      </w:pPr>
      <w:r>
        <w:rPr>
          <w:rFonts w:hint="eastAsia" w:ascii="Times New Roman" w:hAnsi="Times New Roman" w:eastAsia="宋体" w:cs="宋体"/>
          <w:sz w:val="28"/>
          <w:szCs w:val="28"/>
          <w14:ligatures w14:val="none"/>
        </w:rPr>
        <w:t>习近平新时代中国特色社会主义思想在高职思政课程中的实践研究</w:t>
      </w:r>
    </w:p>
    <w:p w14:paraId="5E2447B6">
      <w:pPr>
        <w:numPr>
          <w:ilvl w:val="0"/>
          <w:numId w:val="1"/>
        </w:numPr>
        <w:rPr>
          <w:rFonts w:hint="eastAsia" w:ascii="Times New Roman" w:hAnsi="Times New Roman" w:eastAsia="Arial" w:cs="Arial"/>
          <w:color w:val="333333"/>
          <w:sz w:val="28"/>
          <w:szCs w:val="28"/>
          <w:shd w:val="clear" w:color="auto" w:fill="FFFFFF"/>
          <w14:ligatures w14:val="none"/>
        </w:rPr>
      </w:pPr>
      <w:r>
        <w:rPr>
          <w:rFonts w:hint="eastAsia" w:ascii="Times New Roman" w:hAnsi="Times New Roman" w:eastAsia="宋体" w:cs="宋体"/>
          <w:sz w:val="28"/>
          <w:szCs w:val="28"/>
          <w14:ligatures w14:val="none"/>
        </w:rPr>
        <w:t>课程思政理念下《船舶管理》推进“三全育人”的路径研究</w:t>
      </w:r>
    </w:p>
    <w:p w14:paraId="30DFF872">
      <w:pPr>
        <w:numPr>
          <w:ilvl w:val="0"/>
          <w:numId w:val="1"/>
        </w:numPr>
        <w:rPr>
          <w:rFonts w:hint="eastAsia" w:ascii="Times New Roman" w:hAnsi="Times New Roman" w:eastAsia="Arial" w:cs="Arial"/>
          <w:color w:val="333333"/>
          <w:sz w:val="28"/>
          <w:szCs w:val="28"/>
          <w:shd w:val="clear" w:color="auto" w:fill="FFFFFF"/>
          <w14:ligatures w14:val="none"/>
        </w:rPr>
      </w:pPr>
      <w:r>
        <w:rPr>
          <w:rFonts w:hint="eastAsia" w:ascii="Times New Roman" w:hAnsi="Times New Roman" w:eastAsia="宋体" w:cs="宋体"/>
          <w:sz w:val="28"/>
          <w:szCs w:val="28"/>
          <w14:ligatures w14:val="none"/>
        </w:rPr>
        <w:t>高职航海英语教师课程思政教学能力提升路径研究</w:t>
      </w:r>
    </w:p>
    <w:p w14:paraId="1B4AF366">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课程思政视域下基于“混合式教学”模式的高职院校创新创业课程建设探究</w:t>
      </w:r>
    </w:p>
    <w:p w14:paraId="3EA12DA7">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生成式人工智能赋能高职院校思政教育转型研究</w:t>
      </w:r>
    </w:p>
    <w:p w14:paraId="57AA31DE">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新媒体语境下高职网络思政教育生态构建与实践路径研究</w:t>
      </w:r>
    </w:p>
    <w:p w14:paraId="4BBCA12D">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新质生产力背景下我国职业教育发展路径研究</w:t>
      </w:r>
    </w:p>
    <w:p w14:paraId="0406126D">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高职院校校园文化建设与学生能力培养的关系研究</w:t>
      </w:r>
    </w:p>
    <w:p w14:paraId="6430E627">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立德树人视域下高职院校场馆育人模式的研究与实践</w:t>
      </w:r>
    </w:p>
    <w:p w14:paraId="4634B3D2">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海洋强国战略融入专业课程的路径研究</w:t>
      </w:r>
    </w:p>
    <w:p w14:paraId="0A33D8F5">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邮轮服务与管理专业“文旅融合”场景下的文化自信培育路径研究</w:t>
      </w:r>
    </w:p>
    <w:p w14:paraId="0CE982E4">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轮机工程技术课程“工匠精神+国际视野”双维度育人模式构研究</w:t>
      </w:r>
    </w:p>
    <w:p w14:paraId="6D1FC4C8">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VR虚拟仿真技术在船舶操纵实训中的沉浸式思政教学设计研究</w:t>
      </w:r>
    </w:p>
    <w:p w14:paraId="2E51F702">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半军事化管理与课程思政的协同效应实证研究</w:t>
      </w:r>
      <w:bookmarkStart w:id="0" w:name="_GoBack"/>
      <w:bookmarkEnd w:id="0"/>
    </w:p>
    <w:p w14:paraId="25685C8F">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数智赋能的高职英语课程思政资源动态生成与精准推送机制研究​</w:t>
      </w:r>
    </w:p>
    <w:p w14:paraId="2FB39EE2">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基于混合式教学的高职英语课程思政教学策略研究</w:t>
      </w:r>
    </w:p>
    <w:p w14:paraId="18E32224">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高职院校来华留学生国情教育课程的课程思政实践探索</w:t>
      </w:r>
      <w:r>
        <w:rPr>
          <w:rFonts w:hint="eastAsia" w:ascii="Times New Roman" w:hAnsi="Times New Roman" w:eastAsia="宋体" w:cs="宋体"/>
          <w:sz w:val="28"/>
          <w:szCs w:val="28"/>
          <w:lang w:eastAsia="zh-CN"/>
          <w14:ligatures w14:val="none"/>
        </w:rPr>
        <w:t>——</w:t>
      </w:r>
      <w:r>
        <w:rPr>
          <w:rFonts w:hint="eastAsia" w:ascii="Times New Roman" w:hAnsi="Times New Roman" w:eastAsia="宋体" w:cs="宋体"/>
          <w:sz w:val="28"/>
          <w:szCs w:val="28"/>
          <w14:ligatures w14:val="none"/>
        </w:rPr>
        <w:t>以《中国概况》课程为例</w:t>
      </w:r>
    </w:p>
    <w:p w14:paraId="5CA170FB">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长江文化融入高职海事英语课程思政的路径与实践</w:t>
      </w:r>
    </w:p>
    <w:p w14:paraId="387825F9">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数智赋能的高职英语课程思政“三维五融”教学模式研究——基于产出导向法（POA）的实践创新​</w:t>
      </w:r>
    </w:p>
    <w:p w14:paraId="7455A4A9">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电子信息工程技术专业“新工科+课程思政”融合育人模式研究</w:t>
      </w:r>
    </w:p>
    <w:p w14:paraId="149AD41E">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课前、课中、课后三位一体《现代移动通信网络建设》课程思政的实践研究</w:t>
      </w:r>
    </w:p>
    <w:p w14:paraId="12C84BF5">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智向善行——人工智能技术应用中的伦理责任与社会价值研究</w:t>
      </w:r>
    </w:p>
    <w:p w14:paraId="6285A495">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制造强国目标导向下物联网应用技术专业课程思政的协同育人实践研究</w:t>
      </w:r>
    </w:p>
    <w:p w14:paraId="66033EC2">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软件技术与信创协同驱动智慧航运人才培养的课程思政路径研究</w:t>
      </w:r>
    </w:p>
    <w:p w14:paraId="258B85E0">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立足航运强国的大数据技术专业课程思政的实践研究</w:t>
      </w:r>
    </w:p>
    <w:p w14:paraId="749B9D57">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数字化赋能背景下高职课程思政教学资源库建设与应用研究</w:t>
      </w:r>
    </w:p>
    <w:p w14:paraId="10F010F0">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美育融合课程思政的教学创新路径与动态评价体系构建研究</w:t>
      </w:r>
    </w:p>
    <w:p w14:paraId="64C68441">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AIGC视域下地方性非遗文化数字化传承的课程思政路径探索</w:t>
      </w:r>
    </w:p>
    <w:p w14:paraId="2ECC8CE1">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鼓乐共鸣:打击乐美育课的思政教育实践与效果评估</w:t>
      </w:r>
    </w:p>
    <w:p w14:paraId="7845505A">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VR辅助的养老室内无障碍设计可视化课程思政教学探索</w:t>
      </w:r>
    </w:p>
    <w:p w14:paraId="16288AE1">
      <w:pPr>
        <w:numPr>
          <w:ilvl w:val="0"/>
          <w:numId w:val="1"/>
        </w:numPr>
        <w:rPr>
          <w:rFonts w:hint="eastAsia" w:ascii="Times New Roman" w:hAnsi="Times New Roman" w:eastAsia="Arial" w:cs="Arial"/>
          <w:color w:val="333333"/>
          <w:sz w:val="28"/>
          <w:szCs w:val="28"/>
          <w:shd w:val="clear" w:color="auto" w:fill="FFFFFF"/>
          <w14:ligatures w14:val="none"/>
        </w:rPr>
      </w:pPr>
      <w:r>
        <w:rPr>
          <w:rFonts w:hint="eastAsia" w:ascii="Times New Roman" w:hAnsi="Times New Roman" w:eastAsia="宋体" w:cs="宋体"/>
          <w:sz w:val="28"/>
          <w:szCs w:val="28"/>
          <w14:ligatures w14:val="none"/>
        </w:rPr>
        <w:t>声乐教学中思政教育的“三维实践”路径研究</w:t>
      </w:r>
    </w:p>
    <w:p w14:paraId="2C6488B8">
      <w:pPr>
        <w:numPr>
          <w:ilvl w:val="0"/>
          <w:numId w:val="1"/>
        </w:numPr>
        <w:rPr>
          <w:rFonts w:hint="eastAsia" w:ascii="Times New Roman" w:hAnsi="Times New Roman" w:eastAsia="Arial" w:cs="Arial"/>
          <w:color w:val="333333"/>
          <w:sz w:val="28"/>
          <w:szCs w:val="28"/>
          <w:shd w:val="clear" w:color="auto" w:fill="FFFFFF"/>
          <w14:ligatures w14:val="none"/>
        </w:rPr>
      </w:pPr>
      <w:r>
        <w:rPr>
          <w:rFonts w:hint="eastAsia" w:ascii="Times New Roman" w:hAnsi="Times New Roman" w:eastAsia="宋体" w:cs="宋体"/>
          <w:sz w:val="28"/>
          <w:szCs w:val="28"/>
          <w14:ligatures w14:val="none"/>
        </w:rPr>
        <w:t>新媒体环境下课程思政的传播路径与效果提升研究</w:t>
      </w:r>
    </w:p>
    <w:p w14:paraId="27DDD06A">
      <w:pPr>
        <w:numPr>
          <w:ilvl w:val="0"/>
          <w:numId w:val="1"/>
        </w:numPr>
        <w:rPr>
          <w:rFonts w:hint="eastAsia" w:ascii="Times New Roman" w:hAnsi="Times New Roman" w:eastAsia="Arial" w:cs="Arial"/>
          <w:color w:val="333333"/>
          <w:sz w:val="28"/>
          <w:szCs w:val="28"/>
          <w:shd w:val="clear" w:color="auto" w:fill="FFFFFF"/>
          <w14:ligatures w14:val="none"/>
        </w:rPr>
      </w:pPr>
      <w:r>
        <w:rPr>
          <w:rFonts w:hint="eastAsia" w:ascii="Times New Roman" w:hAnsi="Times New Roman" w:eastAsia="宋体" w:cs="宋体"/>
          <w:sz w:val="28"/>
          <w:szCs w:val="28"/>
          <w14:ligatures w14:val="none"/>
        </w:rPr>
        <w:t>学科交叉视角下艺术设计课程思政分层与个性化育人模式构建</w:t>
      </w:r>
    </w:p>
    <w:p w14:paraId="5AEBC6F9">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基于美术疗愈的高职院校学生抗逆力提升路径研究</w:t>
      </w:r>
    </w:p>
    <w:p w14:paraId="74E92981">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职业规划大赛驱动下“课训赛”一体化生涯教育模式创新研究</w:t>
      </w:r>
    </w:p>
    <w:p w14:paraId="2FEA3F76">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邮轮内装设计课程中“中国制造+海洋文化”双维思政融合路径探索</w:t>
      </w:r>
    </w:p>
    <w:p w14:paraId="4891669C">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“一带一路”视域下港口与航运管理专业核心课程课程思政体系构建研究</w:t>
      </w:r>
    </w:p>
    <w:p w14:paraId="0D1A5939">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“立德树人”理念下商务英语专业课程思政“双主线”建设路径探索</w:t>
      </w:r>
    </w:p>
    <w:p w14:paraId="7DFDF543">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基于“三维协同”的专业课课程思政教学范式研究</w:t>
      </w:r>
    </w:p>
    <w:p w14:paraId="66156863">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基于创新教学法的课程思政元素融入路径及评价体系构建研究</w:t>
      </w:r>
    </w:p>
    <w:p w14:paraId="30AFA86A">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数学逻辑思维训练与思政教育融合路径研究——提升职业院校学生问题解决能力与责任意识</w:t>
      </w:r>
    </w:p>
    <w:p w14:paraId="4306844F">
      <w:pPr>
        <w:numPr>
          <w:ilvl w:val="0"/>
          <w:numId w:val="1"/>
        </w:numPr>
        <w:rPr>
          <w:rFonts w:hint="eastAsia" w:ascii="Times New Roman" w:hAnsi="Times New Roman" w:eastAsia="宋体" w:cs="宋体"/>
          <w:sz w:val="28"/>
          <w:szCs w:val="28"/>
          <w14:ligatures w14:val="none"/>
        </w:rPr>
      </w:pPr>
      <w:r>
        <w:rPr>
          <w:rFonts w:hint="eastAsia" w:ascii="Times New Roman" w:hAnsi="Times New Roman" w:eastAsia="宋体" w:cs="宋体"/>
          <w:sz w:val="28"/>
          <w:szCs w:val="28"/>
          <w14:ligatures w14:val="none"/>
        </w:rPr>
        <w:t>“大思政”视域下跨学科协同育人体系构建与实践研究</w:t>
      </w:r>
    </w:p>
    <w:p w14:paraId="66E1531A">
      <w:pPr>
        <w:numPr>
          <w:ilvl w:val="0"/>
          <w:numId w:val="0"/>
        </w:numPr>
        <w:rPr>
          <w:rFonts w:hint="eastAsia" w:ascii="Times New Roman" w:hAnsi="Times New Roman" w:eastAsia="宋体" w:cs="宋体"/>
          <w:sz w:val="28"/>
          <w:szCs w:val="28"/>
          <w14:ligatures w14:val="none"/>
        </w:rPr>
      </w:pPr>
    </w:p>
    <w:p w14:paraId="46DD9E6C">
      <w:pPr>
        <w:widowControl/>
        <w:spacing w:line="420" w:lineRule="atLeast"/>
        <w:jc w:val="left"/>
        <w:rPr>
          <w:rFonts w:ascii="Times New Roman" w:hAnsi="Times New Roman" w:eastAsia="宋体" w:cs="Times New Roman"/>
          <w:color w:val="333333"/>
          <w:sz w:val="24"/>
          <w:szCs w:val="24"/>
          <w14:ligatures w14:val="none"/>
        </w:rPr>
      </w:pPr>
    </w:p>
    <w:p w14:paraId="3F137059">
      <w:pPr>
        <w:widowControl/>
        <w:spacing w:line="360" w:lineRule="auto"/>
        <w:ind w:firstLine="560" w:firstLineChars="200"/>
        <w:rPr>
          <w:rFonts w:ascii="Times New Roman" w:hAnsi="Times New Roman" w:eastAsia="仿宋" w:cs="仿宋"/>
          <w:sz w:val="28"/>
          <w:szCs w:val="28"/>
          <w14:ligatures w14:val="none"/>
        </w:rPr>
      </w:pPr>
    </w:p>
    <w:p w14:paraId="204B0513">
      <w:pPr>
        <w:rPr>
          <w:rFonts w:ascii="Times New Roman" w:hAnsi="Times New Roman"/>
        </w:rPr>
      </w:pPr>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9DB60">
    <w:pPr>
      <w:pStyle w:val="2"/>
      <w:jc w:val="center"/>
    </w:pPr>
    <w:r>
      <w:fldChar w:fldCharType="begin"/>
    </w:r>
    <w:r>
      <w:instrText xml:space="preserve">PAGE   \* MERGEFORMAT</w:instrText>
    </w:r>
    <w:r>
      <w:fldChar w:fldCharType="separate"/>
    </w:r>
    <w:r>
      <w:rPr>
        <w:lang w:val="zh-CN" w:eastAsia="zh-CN"/>
      </w:rPr>
      <w:t>2</w:t>
    </w:r>
    <w:r>
      <w:fldChar w:fldCharType="end"/>
    </w:r>
  </w:p>
  <w:p w14:paraId="45F1D1EF">
    <w:pPr>
      <w:pStyle w:val="2"/>
      <w:rPr>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9AD2E"/>
    <w:multiLevelType w:val="singleLevel"/>
    <w:tmpl w:val="0499AD2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FAB"/>
    <w:rsid w:val="001E4FA6"/>
    <w:rsid w:val="00981FAB"/>
    <w:rsid w:val="00D4369C"/>
    <w:rsid w:val="00F80566"/>
    <w:rsid w:val="1B8B3F2C"/>
    <w:rsid w:val="3C2D4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1023</Words>
  <Characters>1029</Characters>
  <Lines>4</Lines>
  <Paragraphs>1</Paragraphs>
  <TotalTime>11</TotalTime>
  <ScaleCrop>false</ScaleCrop>
  <LinksUpToDate>false</LinksUpToDate>
  <CharactersWithSpaces>1029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2024-11-04T05:45:00Z</dcterms:created>
  <dc:creator>赵君爱</dc:creator>
  <cp:lastModifiedBy>赵君爱</cp:lastModifiedBy>
  <dcterms:modified xsi:type="dcterms:W3CDTF">2025-07-02T02:52:08Z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eyJoZGlkIjoiZTE4M2ExYWU0MGM1OGUxNjBlNWM3ZmVmMWU4YmQ4ZTYiLCJ1c2VySWQiOiI3NDY4MTA2MTYifQ==</vt:lpwstr>
  </property>
  <property fmtid="{D5CDD505-2E9C-101B-9397-08002B2CF9AE}" pid="3" name="KSOProductBuildVer">
    <vt:lpwstr>2052-12.1.0.21541</vt:lpwstr>
  </property>
  <property fmtid="{D5CDD505-2E9C-101B-9397-08002B2CF9AE}" pid="4" name="ICV">
    <vt:lpwstr>5A0B71DBE227402EAB12B405926581CF_12</vt:lpwstr>
  </property>
</Properties>
</file>