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附件1</w:t>
      </w:r>
      <w:bookmarkStart w:id="0" w:name="_GoBack"/>
      <w:bookmarkEnd w:id="0"/>
    </w:p>
    <w:p>
      <w:pPr>
        <w:snapToGrid w:val="0"/>
        <w:spacing w:line="360" w:lineRule="auto"/>
        <w:jc w:val="center"/>
        <w:rPr>
          <w:rFonts w:ascii="黑体" w:hAnsi="黑体" w:eastAsia="黑体" w:cs="黑体"/>
          <w:sz w:val="36"/>
          <w:szCs w:val="36"/>
        </w:rPr>
      </w:pPr>
      <w:r>
        <w:rPr>
          <w:rFonts w:hint="eastAsia" w:ascii="黑体" w:hAnsi="黑体" w:eastAsia="黑体" w:cs="黑体"/>
          <w:sz w:val="36"/>
          <w:szCs w:val="36"/>
        </w:rPr>
        <w:t>专业诊改自评表</w:t>
      </w:r>
    </w:p>
    <w:p>
      <w:pPr>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二级学院：</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专业名称：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自定等级：□A级、□B级、□C级</w:t>
      </w:r>
    </w:p>
    <w:p>
      <w:pPr>
        <w:snapToGrid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总体指标完成数：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“★”指标未达成数：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专业（课程）中心主任签字：</w:t>
      </w:r>
      <w:r>
        <w:rPr>
          <w:rFonts w:hint="eastAsia" w:asciiTheme="minorEastAsia" w:hAnsiTheme="minorEastAsia" w:cstheme="minorEastAsia"/>
          <w:sz w:val="28"/>
          <w:szCs w:val="28"/>
          <w:u w:val="single"/>
        </w:rPr>
        <w:t xml:space="preserve">           </w:t>
      </w:r>
    </w:p>
    <w:tbl>
      <w:tblPr>
        <w:tblStyle w:val="2"/>
        <w:tblW w:w="14150" w:type="dxa"/>
        <w:tblInd w:w="93" w:type="dxa"/>
        <w:tblLayout w:type="autofit"/>
        <w:tblCellMar>
          <w:top w:w="0" w:type="dxa"/>
          <w:left w:w="108" w:type="dxa"/>
          <w:bottom w:w="0" w:type="dxa"/>
          <w:right w:w="108" w:type="dxa"/>
        </w:tblCellMar>
      </w:tblPr>
      <w:tblGrid>
        <w:gridCol w:w="725"/>
        <w:gridCol w:w="863"/>
        <w:gridCol w:w="2782"/>
        <w:gridCol w:w="3093"/>
        <w:gridCol w:w="1150"/>
        <w:gridCol w:w="937"/>
        <w:gridCol w:w="950"/>
        <w:gridCol w:w="3650"/>
      </w:tblGrid>
      <w:tr>
        <w:tblPrEx>
          <w:tblCellMar>
            <w:top w:w="0" w:type="dxa"/>
            <w:left w:w="108" w:type="dxa"/>
            <w:bottom w:w="0" w:type="dxa"/>
            <w:right w:w="108" w:type="dxa"/>
          </w:tblCellMar>
        </w:tblPrEx>
        <w:trPr>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一级指标</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二级指标</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指标内涵</w:t>
            </w:r>
          </w:p>
        </w:tc>
        <w:tc>
          <w:tcPr>
            <w:tcW w:w="3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主要检测内容和指标</w:t>
            </w:r>
          </w:p>
        </w:tc>
        <w:tc>
          <w:tcPr>
            <w:tcW w:w="30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专业指标达成情况</w:t>
            </w:r>
          </w:p>
        </w:tc>
        <w:tc>
          <w:tcPr>
            <w:tcW w:w="3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指标达成说明</w:t>
            </w:r>
          </w:p>
        </w:tc>
      </w:tr>
      <w:tr>
        <w:tblPrEx>
          <w:tblCellMar>
            <w:top w:w="0" w:type="dxa"/>
            <w:left w:w="108" w:type="dxa"/>
            <w:bottom w:w="0" w:type="dxa"/>
            <w:right w:w="108" w:type="dxa"/>
          </w:tblCellMar>
        </w:tblPrEx>
        <w:trPr>
          <w:trHeight w:val="627"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3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所评等级标准值</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达成值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达成度</w:t>
            </w:r>
          </w:p>
        </w:tc>
        <w:tc>
          <w:tcPr>
            <w:tcW w:w="3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Cs w:val="21"/>
              </w:rPr>
            </w:pPr>
          </w:p>
        </w:tc>
      </w:tr>
      <w:tr>
        <w:tblPrEx>
          <w:tblCellMar>
            <w:top w:w="0" w:type="dxa"/>
            <w:left w:w="108" w:type="dxa"/>
            <w:bottom w:w="0" w:type="dxa"/>
            <w:right w:w="108" w:type="dxa"/>
          </w:tblCellMar>
        </w:tblPrEx>
        <w:trPr>
          <w:trHeight w:val="555"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1.专业群设置</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1.1党的领导</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坚持立德树人根本任务，落实党政联席会议制度，充分发挥基层党组织的主力军作用，建立全员全过程全方位的思想政治工作格局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1.1.1专业群建有“三全育人”实施方案，并有序推进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1.1.2专业群新增课程思政示范专业数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1.1.3专业群新增课程思政示范课程数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1.2目标定位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专业群建设规划有效对接区域主导产业、支柱产业、战略新兴产业，专业群建设在学校专业建设规划中地位凸显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1.2.1专业群有中长期规划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1.2.2专业群新增专业建设项目数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1.2.3专业群增省级以上实训基地建设项目数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1.3专业群结构</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专业群结构合理，群内专业定位明确，学科互补性好，资源共享度高。构建了“底层共享、中层分立、高层互选”的专业群课程体系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1.3.1群内专业基于专业群编制人才培养方案的专业占比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7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1.3.2专业群平台课学分占专业教育课程模块总学分比例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1.4建设机制</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建有健全的校企双方参与的专业群组织体系，专业（中心）负责人、课程团队，职责明确，运行高效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1.4.1 专业群共建共管委员会年均召开全体人员会议</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1.4.2专业（课程）中心机构设置合理，运行成效好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1.4.3具有健全的教学管理制度和督查考核制度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2.专业定位与培养质量</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2.1专业定位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专业定位准确，科学合理，与地方主导产业吻合；以培养“高精尖缺”技术技能人才为专业人才培养目标，实现高定位的培养目标。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2.1.1专业建设目标总体定位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2.1.2按计划开展年度专业、课程和学生自我诊断与改进</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2.1.2年度目标完成率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2.2专业特色</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专业特色鲜明，专业发展对接行业优势明显，对区域支柱产业和社会发展急需人才的培养贡献度大，能服务区域经济转型、产业升级需求</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2.2.1专业毕业生企业满意度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2.2.2学生对专业设置的满意度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2.2.3年均专业学生流失率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2.3规模与招生</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专业宣传力度大，有较好的声誉；保持一定的招生规模，生源质量较好。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2.3.1 专业招生规模在国内、省内同类院校排名</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2.3.2年均第一志愿报考率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2.3.3年均报到率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2.4就业质量</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注重学生就业，做到学生初次就业率、就业对口率、就业质量、起薪点“四高”要求；用人单位对学生满意度较高，学生就业满意度较高；形成了毕业生对人才培养工作的反馈机制。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2.4.1专业学生初次就业率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2.4.2专业毕业生就业对口率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2.4.3往届毕业生对学校教学工作满意度</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3.产教融合与培养模式</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3.1产教融合校企合作</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校企合作全面深入，行业、企业承担人才培养任务明确，在招生、就业、教学模式、课程体系、实践环节、教学运行、管理机制和教学组织形式等多方面与企业进行紧密合作；与知名行业企业建立产教联盟，共同开发专业标准、课程标准和人才质量标准；优选业内领先企业开展现代学徒制培养、企业新型学徒制和“订单式”联合培养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3.1.1专业学生数与签订合作协议的企业数之比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3.1.2签订合作协议企业中，有实质性合作内容的企业占比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3.1.3新增与企业共建合作载体项目数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3.1.4开展现代学徒制培养学生占比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3.2 人培养模式与方案</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人才培养模式遵循职业成长规律和教育教学规律，适应区域经济特点，能深度产教融合。人才培养方案科学合理，能够满足技术技能人才培养需求，能够体现校企共育的特点；实行1+X证书制度。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3.2.1是否实现课证融通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3.2.2是否融赛于课</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3.2.3专业毕业生毕业前取得1+x证书、职业资格证书比例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3.2.4 学生毕业前获得英语A级及以上证书学生占比(涉外专业/非涉外专业）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3.4.5专业学生年均体质达标率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4.师资队伍</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4.1师资水平与结构</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教师教学改革意识和质量意识强，教学水平高，科研成果丰硕；专任教师企业经历丰富，实践能力强；师资队伍结构优化，梯队合理；校外兼职教师具有丰富企业工作经历，在行业中具有一定影响力。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4.1.1新增有校级名师、优秀教学团队数等高层次人才或团队</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4.1.2 专业教师生师比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4.1.3 专业教师具有研究生学历、硕士及以上学位的比例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4.1.4 专业教师具有博士及以上学位比例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4.1.5 专业教师具有高级职称教师比例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4.1.6 专业兼职教师实际授课占专业课总学时之比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55"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4.2专业带头人和领军人才</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专业带头人和领军人才在行业有一定影响，能够准确把握行业动态和发展趋势，专业水平高，科研及管理能力强，层次高；专业带头人聘任、培养和考核制度健全，实施有效。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4.2.1专业双带头人聘任考核制度齐全、运行好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4.2.2专业带头人聘期内年均牵头开展的专业相关课题研究、发表论文或专利数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4.2.3专业群新增产业教授数量</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4.2.4专业群建有的技能大师工作室、名师工作室、教授工作室近5年年均完成省级以上课题、成果或获得省级荣誉数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4.3双师型教师</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培养和引进双师型教师；以老带新的青年教师培养机制完善；优化“双师”队伍结构；实施“双师”教师素质提高计划，落实全员轮训；专业教师赴企业实践人数多，累计时间长，技能水平显著提升；注重吸引高水平行业精英和企业骨干来校任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4.3.1按年度制定教师培养引培计划，执行率高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4.3.2专业教师拥有中级以上技能等级证书或职业职责证书的比例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4.3.3 专业教师5年内在行业企业实践累计半年以上教师比例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4.3.4 专业教师每年在行业企业实践1个月以上教师比例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4.2.5专业拥有省级技能大师、技术能手、大国工匠等高级技术技能人才数占比专业教师比例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55"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5.课程与资源</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5.1课程体系</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课程体系结构合理，突出实践能力培养，课程衔接合理，能够支撑人才培养目标；校企联合进行课程体系建设和教学内容改革，课程内容与职业标准对接，教学过程与生产过程对接，建立职业教育课程标准；紧贴专业发展和技术更新课程内容，进行课程改革。</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5.1.1课程体系遵循OBE理念，突出能力导向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5.1.2专业人才培养方案中完成课程入籍的专业课比例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5.1.3 实践教学比例占专业课总学时的比例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5.1.4通过项目化课程认定的课程数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5.2课程资源</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课程教学资源配备丰富，能够为学生在线学习提供支持；有完善的信息化资源建设、使用、管理、线上线下学习成果互认机制；根据产业发展和技术升级及时更新课程资源；教材建设、管理及选用制度完善；校企合作开发专业课程教材，能够体现职业素养的培养，职业教育特色鲜明；教材随信息技术发展和产业升级及时动态调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5.2.1 专业建有精品在线开放课程数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5.2.2专业建有教学资源库情况</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5.2.3自编有新形态教材数占专业课比例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5.2.4选用教材为近5年国家规划教材或自编新形态教材比例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5.2.5专业近5年建有规划教材（含省重点教材）数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5.3课程教学方法、手段和考核</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充分利用信息化技术改造传统课堂，提升教学效果，推进虚拟工厂等网络学习空间建设和普遍应用；立足学情分析，考核方式灵活，积极推行综合性、多形式、多阶段考核，契合课程教学特点，注重综合评价，突出能力培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5.3.1采用线上线下混合教学的专业课比例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5.3.2专业教师新增教学能力大赛项目数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5.3.3专业获得项目化示范课程比例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5.3.4考核采用“专业+专长”考核模式，突出过程考核和增值考核的专业课程比例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6.实践教学</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6.1实践教学条件</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校内实践教学基地设施先进，技术含量高，具有真实（仿真）的职业氛围，能满足学生职业技能和综合实践能力训练需要；校外实习实训基地稳定，所在企业、单位在行业中有较强影响力，硬件水平高，实习管理规范，企业指导教师数量多、层次高，校外实训效果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6.1.1专业群生均教学仪器设备值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6.1.2专业群建有高水平实训基地建设项目数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6.1.3建有虚拟仿真数字化资源能涵盖专业课程比例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6.1.4学生实际去开展认识实习、跟岗实习、顶岗实习或现代学徒制培养的校外实习基地数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6.2实践教学内容</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实践教学项目环节设计科学合理，内容与实际需求结合密切；实践教学以技术技能训练为基础，凸显学生职业精神与综合素质培养；实训基地管理制度完善，运行良好。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6.2.1实践教学管理制度齐全，实习档案归档整齐、完整，安全管理预案科学，安全培训和演练规范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6.2.2专业群各实验实训室管理规范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Style w:val="4"/>
                <w:sz w:val="21"/>
                <w:szCs w:val="21"/>
              </w:rPr>
              <w:t>ê</w:t>
            </w:r>
            <w:r>
              <w:rPr>
                <w:rStyle w:val="5"/>
                <w:rFonts w:hint="default"/>
                <w:sz w:val="21"/>
                <w:szCs w:val="21"/>
              </w:rPr>
              <w:t>6.2.近3年总使用低于800学时的专业群实验实训室比例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6.2.4单个仪器设备总值超10万元的重大仪器设备近3年年使用时间少于800小时的比例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6.2.5专业群以实验实训室为单位完成实验实训项目开发的比例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7.技能大赛与创新创业</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7.1技能大赛</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具有完善的技能大赛承办、学生选拔、培训、奖励机制，并有一定的大赛承办能力；技能大赛与专业教学紧密结合，以赛促教、以赛促学；学生参加各级技能大赛比例高，省级及以上技能大赛成绩优异。</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7.1.1 院级技能大赛机制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7.1.2专业学生参加院级技能大赛的比例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7.1.3 专业新增省级以上技能大赛奖项数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7.2创新创业</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推进专业教育基础上的创新创业教育；按照创新创业教育的要求，优化人才培养方案和课程结构；将创新创业教育融入人才培养全过程，创新创业课程资源丰富，创新创业实践基地条件优良，平台类型丰富。</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7.1.1专业群建有校级及以上创新工作室（创客空间）数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7.1.2专业学生年均完成省级大学生创新研究项目数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7.1.3专业层面开设的创新创业课学分数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7.1.4校友毕业三年内创业率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8.科研、社会服务与国际交流</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8.1科技研发</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与行业企业深入合作，开展科技研发应用工作，有一定数量的纵向教科研项目；横向项目经费到款额度高；专业教师获得一定数量专利，专利转化率高。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8.1.1专业教师5年内师均完成省级以上高水平教科研课题数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8.1.2专业教师5年人均技术服务到款额（横向/纵向/技术交易/非学历培训/公益性培训服务）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1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8.1.3专业群新增省级以上技术协同创新中心、工程中心等科研平台数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8.1.4专业群年均技术成果转化率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66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8.2社会服务</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开展多种形式的社会培训和师资培训；依托专业资源，紧贴产业行业发展与技术革新前沿，协助企业解决技术难题，开展技术服务。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8.2.1 专业年均培训和鉴定人次达到专业在校生的规模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8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8.2.3专业年均生均培训和鉴定收益</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8.3国际交流</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与境外院校或教育机构在学生交流、教师进修、合作办学、课程建设、共建实训基地、资源共享等方面合作顺畅，效果良好；探索开展境外办学和培训。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8.3.1 有与境外院校或教育机构交流的专业学生比例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8.3.2展业是否招收境外留学生（含3个月以上非学历教育）</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8.3.3专业5年内有国境外3个月以上进修资历专业教师占比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9.专业影响与特色创新</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9.1专业影响及评价</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在行业和区域内有较强的影响力，形成了良好品牌；实施毕业生评价、用人单位评价等完善的第三方评价机制。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9.1.1专业年均在媒体宣传和报道数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9.1.2专业新增省级以上标志性成果、荣誉</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9.1.3建立了毕业生评价、用人单位评价等完善的第三方评价机制（毕业生跟踪体系）</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9.2特色创新</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Cs w:val="21"/>
                <w:lang w:eastAsia="zh-CN"/>
              </w:rPr>
            </w:pPr>
            <w:r>
              <w:rPr>
                <w:rFonts w:hint="eastAsia" w:ascii="宋体" w:hAnsi="宋体" w:eastAsia="宋体" w:cs="宋体"/>
                <w:color w:val="000000"/>
                <w:kern w:val="0"/>
                <w:szCs w:val="21"/>
                <w:lang w:bidi="ar"/>
              </w:rPr>
              <w:t>专业群建设各项改革创新成效显著，充分体现出专业群建设的信息化、国际化、终生化、个性化和多样化，并形成原创性的范式和经验，在省内乃至国内同行中有重要影响</w:t>
            </w:r>
            <w:r>
              <w:rPr>
                <w:rFonts w:hint="eastAsia" w:ascii="宋体" w:hAnsi="宋体" w:eastAsia="宋体" w:cs="宋体"/>
                <w:color w:val="000000"/>
                <w:kern w:val="0"/>
                <w:szCs w:val="21"/>
                <w:lang w:eastAsia="zh-CN" w:bidi="ar"/>
              </w:rPr>
              <w:t>。</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9.2.1获评特色创新案例数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35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宋体" w:hAnsi="宋体" w:eastAsia="宋体" w:cs="宋体"/>
                <w:color w:val="000000"/>
                <w:szCs w:val="21"/>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ascii="宋体" w:hAnsi="宋体" w:eastAsia="宋体" w:cs="宋体"/>
                <w:color w:val="000000"/>
                <w:sz w:val="21"/>
                <w:szCs w:val="21"/>
              </w:rPr>
            </w:pPr>
            <w:r>
              <w:rPr>
                <w:rFonts w:hint="eastAsia"/>
                <w:color w:val="000000"/>
                <w:sz w:val="21"/>
                <w:szCs w:val="21"/>
              </w:rPr>
              <w:t>9.2.2自评报告中凝练的特色创新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p>
        </w:tc>
        <w:tc>
          <w:tcPr>
            <w:tcW w:w="36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p>
        </w:tc>
      </w:tr>
      <w:tr>
        <w:tblPrEx>
          <w:tblCellMar>
            <w:top w:w="0" w:type="dxa"/>
            <w:left w:w="108" w:type="dxa"/>
            <w:bottom w:w="0" w:type="dxa"/>
            <w:right w:w="108" w:type="dxa"/>
          </w:tblCellMar>
        </w:tblPrEx>
        <w:trPr>
          <w:trHeight w:val="1350" w:hRule="atLeast"/>
        </w:trPr>
        <w:tc>
          <w:tcPr>
            <w:tcW w:w="141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遴选要求和关键指标说明：</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1. 本标准共9个一级指标、25个二级指标和90个具体观测指标，专业至少达到85个具体观测指标，且所有“</w:t>
            </w:r>
            <w:r>
              <w:rPr>
                <w:rStyle w:val="4"/>
                <w:sz w:val="21"/>
                <w:szCs w:val="21"/>
              </w:rPr>
              <w:t>ê</w:t>
            </w:r>
            <w:r>
              <w:rPr>
                <w:rFonts w:hint="eastAsia" w:ascii="宋体" w:hAnsi="宋体" w:eastAsia="宋体" w:cs="宋体"/>
                <w:color w:val="000000"/>
                <w:szCs w:val="21"/>
              </w:rPr>
              <w:t>”指标皆符合标准才能认定为相应级别；</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2. 专业每5年须完成一轮评估，至少达到C类标准75个指标，且所有“</w:t>
            </w:r>
            <w:r>
              <w:rPr>
                <w:rStyle w:val="4"/>
                <w:sz w:val="21"/>
                <w:szCs w:val="21"/>
              </w:rPr>
              <w:t>ê</w:t>
            </w:r>
            <w:r>
              <w:rPr>
                <w:rFonts w:hint="eastAsia" w:ascii="宋体" w:hAnsi="宋体" w:eastAsia="宋体" w:cs="宋体"/>
                <w:color w:val="000000"/>
                <w:szCs w:val="21"/>
              </w:rPr>
              <w:t>”指标皆符合要求的专业评估结果为合格，否则为不合格；</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3. 除特别说明为，指标数据的统计日期为近5年；</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4. 专业评级将作为基本专业建设与教学改革资金分配、省级及以上项目申报名额分配的主要依据；</w:t>
            </w:r>
          </w:p>
          <w:p>
            <w:pPr>
              <w:widowControl/>
              <w:jc w:val="both"/>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5. 专业教师是指承接了该专业至少完整一门专业课程教学任务的专任教师，含双肩挑人员，评估前须专业需提交专业教师名单和承接教学任务的证明材料。</w:t>
            </w:r>
          </w:p>
          <w:p>
            <w:pPr>
              <w:widowControl/>
              <w:jc w:val="both"/>
              <w:textAlignment w:val="center"/>
              <w:rPr>
                <w:rFonts w:ascii="宋体" w:hAnsi="宋体" w:eastAsia="宋体" w:cs="宋体"/>
                <w:color w:val="000000"/>
                <w:szCs w:val="21"/>
              </w:rPr>
            </w:pPr>
            <w:r>
              <w:rPr>
                <w:rFonts w:hint="eastAsia" w:ascii="宋体" w:hAnsi="宋体" w:eastAsia="宋体" w:cs="宋体"/>
                <w:color w:val="000000"/>
                <w:szCs w:val="21"/>
              </w:rPr>
              <w:t xml:space="preserve">    6. 省级及以上项目、课题、荣誉是指教育主管部门、科技主管部门、人力资源管理部门、交通部等政府部门组织评审、立项的项目、课题、荣誉。</w:t>
            </w:r>
          </w:p>
        </w:tc>
      </w:tr>
    </w:tbl>
    <w:p>
      <w:pPr>
        <w:snapToGrid w:val="0"/>
        <w:jc w:val="center"/>
        <w:rPr>
          <w:rFonts w:asciiTheme="minorEastAsia" w:hAnsiTheme="minorEastAsia" w:cstheme="minorEastAsia"/>
          <w:sz w:val="2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MzM0MTA1YjVlNzhhMDQ4ODE5NzcwYzQxYjQzZDMifQ=="/>
  </w:docVars>
  <w:rsids>
    <w:rsidRoot w:val="37F56DAC"/>
    <w:rsid w:val="2A1B35F7"/>
    <w:rsid w:val="309A2CBD"/>
    <w:rsid w:val="37F5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default" w:ascii="Wingdings 2" w:hAnsi="Wingdings 2"/>
      <w:color w:val="000000"/>
      <w:sz w:val="22"/>
      <w:szCs w:val="22"/>
      <w:u w:val="none"/>
    </w:r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4422</Words>
  <Characters>4866</Characters>
  <Lines>0</Lines>
  <Paragraphs>0</Paragraphs>
  <TotalTime>0</TotalTime>
  <ScaleCrop>false</ScaleCrop>
  <LinksUpToDate>false</LinksUpToDate>
  <CharactersWithSpaces>4994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2022-11-25T02:58:00Z</dcterms:created>
  <dc:creator>完剑侠</dc:creator>
  <cp:lastModifiedBy>完剑侠</cp:lastModifiedBy>
  <dcterms:modified xsi:type="dcterms:W3CDTF">2022-11-25T06:39:48Z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26EDE79DB2CE43EFA4AA92DE4FEA266D</vt:lpwstr>
  </property>
</Properties>
</file>