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附件1</w:t>
      </w:r>
    </w:p>
    <w:p>
      <w:pPr>
        <w:snapToGrid w:val="0"/>
        <w:spacing w:line="360" w:lineRule="auto"/>
        <w:jc w:val="center"/>
        <w:rPr>
          <w:rFonts w:ascii="黑体" w:hAnsi="黑体" w:eastAsia="黑体" w:cs="黑体"/>
          <w:sz w:val="36"/>
          <w:szCs w:val="36"/>
        </w:rPr>
      </w:pPr>
      <w:bookmarkStart w:id="0" w:name="_GoBack"/>
      <w:r>
        <w:rPr>
          <w:rFonts w:hint="eastAsia" w:ascii="黑体" w:hAnsi="黑体" w:eastAsia="黑体" w:cs="黑体"/>
          <w:sz w:val="36"/>
          <w:szCs w:val="36"/>
        </w:rPr>
        <w:t>专业</w:t>
      </w:r>
      <w:r>
        <w:rPr>
          <w:rFonts w:hint="eastAsia" w:ascii="黑体" w:hAnsi="黑体" w:eastAsia="黑体" w:cs="黑体"/>
          <w:sz w:val="36"/>
          <w:szCs w:val="36"/>
          <w:lang w:eastAsia="zh-CN"/>
        </w:rPr>
        <w:t>（</w:t>
      </w:r>
      <w:r>
        <w:rPr>
          <w:rFonts w:hint="eastAsia" w:ascii="黑体" w:hAnsi="黑体" w:eastAsia="黑体" w:cs="黑体"/>
          <w:sz w:val="36"/>
          <w:szCs w:val="36"/>
          <w:lang w:val="en-US" w:eastAsia="zh-CN"/>
        </w:rPr>
        <w:t>群</w:t>
      </w:r>
      <w:r>
        <w:rPr>
          <w:rFonts w:hint="eastAsia" w:ascii="黑体" w:hAnsi="黑体" w:eastAsia="黑体" w:cs="黑体"/>
          <w:sz w:val="36"/>
          <w:szCs w:val="36"/>
          <w:lang w:eastAsia="zh-CN"/>
        </w:rPr>
        <w:t>）</w:t>
      </w:r>
      <w:r>
        <w:rPr>
          <w:rFonts w:hint="eastAsia" w:ascii="黑体" w:hAnsi="黑体" w:eastAsia="黑体" w:cs="黑体"/>
          <w:sz w:val="36"/>
          <w:szCs w:val="36"/>
        </w:rPr>
        <w:t>自评</w:t>
      </w:r>
      <w:r>
        <w:rPr>
          <w:rFonts w:hint="eastAsia" w:ascii="黑体" w:hAnsi="黑体" w:eastAsia="黑体" w:cs="黑体"/>
          <w:sz w:val="36"/>
          <w:szCs w:val="36"/>
          <w:lang w:val="en-US" w:eastAsia="zh-CN"/>
        </w:rPr>
        <w:t>打分</w:t>
      </w:r>
      <w:r>
        <w:rPr>
          <w:rFonts w:hint="eastAsia" w:ascii="黑体" w:hAnsi="黑体" w:eastAsia="黑体" w:cs="黑体"/>
          <w:sz w:val="36"/>
          <w:szCs w:val="36"/>
        </w:rPr>
        <w:t>表</w:t>
      </w:r>
    </w:p>
    <w:bookmarkEnd w:id="0"/>
    <w:p>
      <w:pPr>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二级学院：</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专业名称：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自定等级：□A级、□B级、□C级</w:t>
      </w:r>
    </w:p>
    <w:p>
      <w:pPr>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总体指标完成数：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“★”指标未达成数：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专业（课程）中心主任签字：</w:t>
      </w:r>
      <w:r>
        <w:rPr>
          <w:rFonts w:hint="eastAsia" w:asciiTheme="minorEastAsia" w:hAnsiTheme="minorEastAsia" w:cstheme="minorEastAsia"/>
          <w:sz w:val="28"/>
          <w:szCs w:val="28"/>
          <w:u w:val="single"/>
        </w:rPr>
        <w:t xml:space="preserve">           </w:t>
      </w:r>
    </w:p>
    <w:tbl>
      <w:tblPr>
        <w:tblStyle w:val="2"/>
        <w:tblW w:w="14150" w:type="dxa"/>
        <w:tblInd w:w="93" w:type="dxa"/>
        <w:tblLayout w:type="autofit"/>
        <w:tblCellMar>
          <w:top w:w="0" w:type="dxa"/>
          <w:left w:w="108" w:type="dxa"/>
          <w:bottom w:w="0" w:type="dxa"/>
          <w:right w:w="108" w:type="dxa"/>
        </w:tblCellMar>
      </w:tblPr>
      <w:tblGrid>
        <w:gridCol w:w="725"/>
        <w:gridCol w:w="863"/>
        <w:gridCol w:w="2782"/>
        <w:gridCol w:w="3093"/>
        <w:gridCol w:w="1150"/>
        <w:gridCol w:w="937"/>
        <w:gridCol w:w="950"/>
        <w:gridCol w:w="3650"/>
      </w:tblGrid>
      <w:tr>
        <w:tblPrEx>
          <w:tblCellMar>
            <w:top w:w="0" w:type="dxa"/>
            <w:left w:w="108" w:type="dxa"/>
            <w:bottom w:w="0" w:type="dxa"/>
            <w:right w:w="108" w:type="dxa"/>
          </w:tblCellMar>
        </w:tblPrEx>
        <w:trPr>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一级指标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二级指标</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指标内涵</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主要检测内容和指标</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专业指标达成情况</w:t>
            </w:r>
          </w:p>
        </w:tc>
        <w:tc>
          <w:tcPr>
            <w:tcW w:w="3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指标达成说明</w:t>
            </w:r>
          </w:p>
        </w:tc>
      </w:tr>
      <w:tr>
        <w:tblPrEx>
          <w:tblCellMar>
            <w:top w:w="0" w:type="dxa"/>
            <w:left w:w="108" w:type="dxa"/>
            <w:bottom w:w="0" w:type="dxa"/>
            <w:right w:w="108" w:type="dxa"/>
          </w:tblCellMar>
        </w:tblPrEx>
        <w:trPr>
          <w:trHeight w:val="627"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所评等级标准值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达成值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达成度</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555"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1.专业群设置</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1.1党的领导</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坚持立德树人根本任务，落实党政联席会议制度，充分发挥基层党组织的主力军作用，建立全员全过程全方位的思想政治工作格局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1.1.1专业群建有“三全育人”实施方案，并有序推进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1.1.2专业群新增课程思政示范专业数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1.1.3专业群新增课程思政示范课程数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1.2目标定位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专业群建设规划有效对接区域主导产业、支柱产业、战略新兴产业，专业群建设在学校专业建设规划中地位凸显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1.2.1专业群有中长期规划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1.2.2专业群新增专业建设项目数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1.2.3专业群增省级以上实训基地建设项目数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1.3专业群结构</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专业群结构合理，群内专业定位明确，学科互补性好，资源共享度高。构建了“底层共享、中层分立、高层互选”的专业群课程体系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1.3.1群内专业基于专业群编制人才培养方案的专业占比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1.3.2专业群平台课学分占专业教育课程模块总学分比例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1.4建设机制</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建有健全的校企双方参与的专业群组织体系，专业（中心）负责人、课程团队，职责明确，运行高效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1.4.1 专业群共建共管委员会年均召开全体人员会议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1.4.2专业（课程）中心机构设置合理，运行成效好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1.4.3具有健全的教学管理制度和督查考核制度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2.专业定位与培养质量</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2.1专业定位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专业定位准确，科学合理，与地方主导产业吻合；以培养“高精尖缺”技术技能人才为专业人才培养目标，实现高定位的培养目标。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2.1.1专业建设目标总体定位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2.1.2按计划开展年度专业、课程和学生自我诊断与改进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2.1.2年度目标完成率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2.2专业特色</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专业特色鲜明，专业发展对接行业优势明显，对区域支柱产业和社会发展急需人才的培养贡献度大，能服务区域经济转型、产业升级需求</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2.2.1专业毕业生企业满意度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2.2.2学生对专业设置的满意度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2.2.3年均专业学生流失率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2.3规模与招生</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专业宣传力度大，有较好的声誉；保持一定的招生规模，生源质量较好。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2.3.1 专业招生规模在国内、省内同类院校排名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2.3.2年均第一志愿报考率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2.3.3年均报到率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2.4就业质量</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注重学生就业，做到学生初次就业率、就业对口率、就业质量、起薪点“四高”要求；用人单位对学生满意度较高，学生就业满意度较高；形成了毕业生对人才培养工作的反馈机制。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2.4.1专业学生初次就业率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2.4.2专业毕业生就业对口率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2.4.3往届毕业生对学校教学工作满意度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3.产教融合与培养模式</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3.1产教融合校企合作</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校企合作全面深入，行业、企业承担人才培养任务明确，在招生、就业、教学模式、课程体系、实践环节、教学运行、管理机制和教学组织形式等多方面与企业进行紧密合作；与知名行业企业建立产教联盟，共同开发专业标准、课程标准和人才质量标准；优选业内领先企业开展现代学徒制培养、企业新型学徒制和“订单式”联合培养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3.1.1专业学生数与签订合作协议的企业数之比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3.1.2签订合作协议企业中，有实质性合作内容的企业占比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3.1.3新增与企业共建合作载体项目数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3.1.4开展现代学徒制培养学生占比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 人培养模式与方案</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人才培养模式遵循职业成长规律和教育教学规律，适应区域经济特点，能深度产教融合。人才培养方案科学合理，能够满足技术技能人才培养需求，能够体现校企共育的特点；实行1+X证书制度。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3.2.1是否实现课证融通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3.2.2是否融赛于课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3.2.3专业毕业生毕业前取得1+x证书、职业资格证书比例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3.2.4 学生毕业前获得英语A级及以上证书学生占比(涉外专业/非涉外专业）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3.4.5专业学生年均体质达标率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4.师资队伍</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4.1师资水平与结构</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教师教学改革意识和质量意识强，教学水平高，科研成果丰硕；专任教师企业经历丰富，实践能力强；师资队伍结构优化，梯队合理；校外兼职教师具有丰富企业工作经历，在行业中具有一定影响力。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4.1.1新增有校级名师、优秀教学团队数等高层次人才或团队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4.1.2 专业教师生师比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4.1.3 专业教师具有研究生学历、硕士及以上学位的比例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4.1.4 专业教师具有博士及以上学位比例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4.1.5 专业教师具有高级职称教师比例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4.1.6 专业兼职教师实际授课占专业课总学时之比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55"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4.2专业带头人和领军人才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专业带头人和领军人才在行业有一定影响，能够准确把握行业动态和发展趋势，专业水平高，科研及管理能力强，层次高；专业带头人聘任、培养和考核制度健全，实施有效。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4.2.1专业双带头人聘任考核制度齐全、运行好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4.2.2专业带头人聘期内年均牵头开展的专业相关课题研究、发表论文或专利数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4.2.3专业群新增产业教授数量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4.2.4专业群建有的技能大师工作室、名师工作室、教授工作室近5年年均完成省级以上课题、成果或获得省级荣誉数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4.3双师型教师</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培养和引进双师型教师；以老带新的青年教师培养机制完善；优化“双师”队伍结构；实施“双师”教师素质提高计划，落实全员轮训；专业教师赴企业实践人数多，累计时间长，技能水平显著提升；注重吸引高水平行业精英和企业骨干来校任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4.3.1按年度制定教师培养引培计划，执行率高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4.3.2专业教师拥有中级以上技能等级证书或职业职责证书的比例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4.3.3 专业教师5年内在行业企业实践累计半年以上教师比例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4.3.4 专业教师每年在行业企业实践1个月以上教师比例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4.2.5专业拥有省级技能大师、技术能手、大国工匠等高级技术技能人才数占比专业教师比例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55"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5.课程与资源</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5.1课程体系</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课程体系结构合理，突出实践能力培养，课程衔接合理，能够支撑人才培养目标；校企联合进行课程体系建设和教学内容改革，课程内容与职业标准对接，教学过程与生产过程对接，建立职业教育课程标准；紧贴专业发展和技术更新课程内容，进行课程改革。</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5.1.1课程体系遵循OBE理念，突出能力导向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5.1.2专业人才培养方案中完成课程入籍的专业课比例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5.1.3 实践教学比例占专业课总学时的比例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5.1.4通过项目化课程认定的课程数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5.2课程资源</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课程教学资源配备丰富，能够为学生在线学习提供支持；有完善的信息化资源建设、使用、管理、线上线下学习成果互认机制；根据产业发展和技术升级及时更新课程资源；教材建设、管理及选用制度完善；校企合作开发专业课程教材，能够体现职业素养的培养，职业教育特色鲜明；教材随信息技术发展和产业升级及时动态调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5.2.1 专业建有精品在线开放课程数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5.2.2专业建有教学资源库情况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5.2.3自编有新形态教材数占专业课比例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5.2.4选用教材为近5年国家规划教材或自编新形态教材比例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5.2.5专业近5年建有规划教材（含省重点教材）数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5.3课程教学方法、手段和考核</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充分利用信息化技术改造传统课堂，提升教学效果，推进虚拟工厂等网络学习空间建设和普遍应用；立足学情分析，考核方式灵活，积极推行综合性、多形式、多阶段考核，契合课程教学特点，注重综合评价，突出能力培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5.3.1采用线上线下混合教学的专业课比例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5.3.2专业教师新增教学能力大赛项目数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5.3.3专业获得项目化示范课程比例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5.3.4考核采用“专业+专长”考核模式，突出过程考核和增值考核的专业课程比例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6.实践教学</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6.1实践教学条件</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校内实践教学基地设施先进，技术含量高，具有真实（仿真）的职业氛围，能满足学生职业技能和综合实践能力训练需要；校外实习实训基地稳定，所在企业、单位在行业中有较强影响力，硬件水平高，实习管理规范，企业指导教师数量多、层次高，校外实训效果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6.1.1专业群生均教学仪器设备值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6.1.2专业群建有高水平实训基地建设项目数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6.1.3建有虚拟仿真数字化资源能涵盖专业课程比例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6.1.4学生实际去开展认识实习、跟岗实习、顶岗实习或现代学徒制培养的校外实习基地数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6.2实践教学内容</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实践教学项目环节设计科学合理，内容与实际需求结合密切；实践教学以技术技能训练为基础，凸显学生职业精神与综合素质培养；实训基地管理制度完善，运行良好。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6.2.1实践教学管理制度齐全，实习档案归档整齐、完整，安全管理预案科学，安全培训和演练规范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6.2.2专业群各实验实训室管理规范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6.2.近3年总使用低于800学时的专业群实验实训室比例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6.2.4单个仪器设备总值超10万元的重大仪器设备近3年年使用时间少于800小时的比例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6.2.5专业群以实验实训室为单位完成实验实训项目开发的比例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7.技能大赛与创新创业</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7.1技能大赛</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具有完善的技能大赛承办、学生选拔、培训、奖励机制，并有一定的大赛承办能力；技能大赛与专业教学紧密结合，以赛促教、以赛促学；学生参加各级技能大赛比例高，省级及以上技能大赛成绩优异。</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7.1.1 院级技能大赛机制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7.1.2专业学生参加院级技能大赛的比例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7.1.3 专业新增省级以上技能大赛奖项数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7.2创新创业</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推进专业教育基础上的创新创业教育；按照创新创业教育的要求，优化人才培养方案和课程结构；将创新创业教育融入人才培养全过程，创新创业课程资源丰富，创新创业实践基地条件优良，平台类型丰富。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7.1.1专业群建有校级及以上创新工作室（创客空间）数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7.1.2专业学生年均完成省级大学生创新研究项目数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7.1.3专业层面开设的创新创业课学分数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7.1.4校友毕业三年内创业率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8.科研、社会服务与国际交流</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8.1科技研发</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与行业企业深入合作，开展科技研发应用工作，有一定数量的纵向教科研项目；横向项目经费到款额度高；专业教师获得一定数量专利，专利转化率高。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8.1.1专业教师5年内师均完成省级以上高水平教科研课题数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8.1.2专业教师5年人均技术服务到款额（横向/纵向/技术交易/非学历培训/公益性培训服务）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8.1.3专业群新增省级以上技术协同创新中心、工程中心等科研平台数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8.1.4专业群年均技术成果转化率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8.2社会服务</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开展多种形式的社会培训和师资培训；依托专业资源，紧贴产业行业发展与技术革新前沿，协助企业解决技术难题，开展技术服务。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8.2.1 专业年均培训和鉴定人次达到专业在校生的规模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8.2.3专业年均生均培训和鉴定收益</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8.3国际交流</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与境外院校或教育机构在学生交流、教师进修、合作办学、课程建设、共建实训基地、资源共享等方面合作顺畅，效果良好；探索开展境外办学和培训。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8.3.1 有与境外院校或教育机构交流的专业学生比例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8.3.2展业是否招收境外留学生（含3个月以上非学历教育）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8.3.3专业5年内有国境外3个月以上进修资历专业教师占比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9.专业影响与特色创新</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9.1专业影响及评价</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在行业和区域内有较强的影响力，形成了良好品牌；实施毕业生评价、用人单位评价等完善的第三方评价机制。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9.1.1专业年均在媒体宣传和报道数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9.1.2专业新增省级以上标志性成果、荣誉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9.1.3建立了毕业生评价、用人单位评价等完善的第三方评价机制（毕业生跟踪体系）</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9.2特色创新</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专业群建设各项改革创新成效显著，充分体现出专业群建设的信息化、国际化、终生化、个性化和多样化，并形成原创性的范式和经验，在省内乃至国内同行中有重要影响</w:t>
            </w:r>
            <w:r>
              <w:rPr>
                <w:rFonts w:hint="eastAsia" w:ascii="宋体" w:hAnsi="宋体" w:eastAsia="宋体" w:cs="宋体"/>
                <w:color w:val="000000"/>
                <w:kern w:val="0"/>
                <w:szCs w:val="21"/>
                <w:lang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9.2.1获评特色创新案例数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35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9.2.2自评报告中凝练的特色创新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350" w:hRule="atLeast"/>
        </w:trPr>
        <w:tc>
          <w:tcPr>
            <w:tcW w:w="141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遴选要求和关键指标说明：</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1. 本标准共9个一级指标、25个二级指标和90个具体观测指标，专业至少达到85个具体观测指标，且所有“</w:t>
            </w:r>
            <w:r>
              <w:rPr>
                <w:rStyle w:val="4"/>
                <w:sz w:val="21"/>
                <w:szCs w:val="21"/>
              </w:rPr>
              <w:t>ê</w:t>
            </w:r>
            <w:r>
              <w:rPr>
                <w:rFonts w:hint="eastAsia" w:ascii="宋体" w:hAnsi="宋体" w:eastAsia="宋体" w:cs="宋体"/>
                <w:color w:val="000000"/>
                <w:szCs w:val="21"/>
              </w:rPr>
              <w:t>”指标皆符合标准才能认定为相应级别；</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2. 专业每5年须完成一轮评估，至少达到C类标准75个指标，且所有“</w:t>
            </w:r>
            <w:r>
              <w:rPr>
                <w:rStyle w:val="4"/>
                <w:sz w:val="21"/>
                <w:szCs w:val="21"/>
              </w:rPr>
              <w:t>ê</w:t>
            </w:r>
            <w:r>
              <w:rPr>
                <w:rFonts w:hint="eastAsia" w:ascii="宋体" w:hAnsi="宋体" w:eastAsia="宋体" w:cs="宋体"/>
                <w:color w:val="000000"/>
                <w:szCs w:val="21"/>
              </w:rPr>
              <w:t>”指标皆符合要求的专业评估结果为合格，否则为不合格；</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3. 除特别说明为，指标数据的统计日期为近5年；</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4. 专业评级将作为基本专业建设与教学改革资金分配、省级及以上项目申报名额分配的主要依据；</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5. 专业教师是指承接了该专业至少完整一门专业课程教学任务的专任教师，含双肩挑人员，评估前须专业需提交专业教师名单和承接教学任务的证明材料。</w:t>
            </w:r>
          </w:p>
          <w:p>
            <w:pPr>
              <w:widowControl/>
              <w:jc w:val="both"/>
              <w:textAlignment w:val="center"/>
              <w:rPr>
                <w:rFonts w:ascii="宋体" w:hAnsi="宋体" w:eastAsia="宋体" w:cs="宋体"/>
                <w:color w:val="000000"/>
                <w:szCs w:val="21"/>
              </w:rPr>
            </w:pPr>
            <w:r>
              <w:rPr>
                <w:rFonts w:hint="eastAsia" w:ascii="宋体" w:hAnsi="宋体" w:eastAsia="宋体" w:cs="宋体"/>
                <w:color w:val="000000"/>
                <w:szCs w:val="21"/>
              </w:rPr>
              <w:t xml:space="preserve">    6. 省级及以上项目、课题、荣誉是指教育主管部门、科技主管部门、人力资源管理部门、交通部等政府部门组织评审、立项的项目、课题、荣誉。</w:t>
            </w:r>
          </w:p>
        </w:tc>
      </w:tr>
    </w:tbl>
    <w:p>
      <w:pPr>
        <w:snapToGrid w:val="0"/>
        <w:jc w:val="center"/>
        <w:rPr>
          <w:rFonts w:asciiTheme="minorEastAsia" w:hAnsiTheme="minorEastAsia" w:cstheme="minorEastAsia"/>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zVlOTVmM2Q0MjYzYjk1YzAxNzVlNWI5YjE4YzIifQ=="/>
  </w:docVars>
  <w:rsids>
    <w:rsidRoot w:val="37F56DAC"/>
    <w:rsid w:val="04FA234D"/>
    <w:rsid w:val="2A1B35F7"/>
    <w:rsid w:val="2FC73C59"/>
    <w:rsid w:val="309A2CBD"/>
    <w:rsid w:val="37F56DAC"/>
    <w:rsid w:val="7B91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default" w:ascii="Wingdings 2" w:hAnsi="Wingdings 2"/>
      <w:color w:val="000000"/>
      <w:sz w:val="22"/>
      <w:szCs w:val="22"/>
      <w:u w:val="none"/>
    </w:rPr>
  </w:style>
  <w:style w:type="character" w:customStyle="1" w:styleId="5">
    <w:name w:val="font01"/>
    <w:basedOn w:val="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4422</Words>
  <Characters>4866</Characters>
  <Lines>0</Lines>
  <Paragraphs>0</Paragraphs>
  <TotalTime>10</TotalTime>
  <ScaleCrop>false</ScaleCrop>
  <LinksUpToDate>false</LinksUpToDate>
  <CharactersWithSpaces>4994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2022-11-25T02:58:00Z</dcterms:created>
  <dc:creator>完剑侠</dc:creator>
  <cp:lastModifiedBy>小瑞妈咪</cp:lastModifiedBy>
  <dcterms:modified xsi:type="dcterms:W3CDTF">2024-04-07T07:12:19Z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D054EF241A32443BA485993DFC0AC592_13</vt:lpwstr>
  </property>
</Properties>
</file>