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eastAsia="方正仿宋简体" w:cs="Times New Roman"/>
          <w:szCs w:val="32"/>
          <w:lang w:eastAsia="zh-CN"/>
        </w:rPr>
      </w:pPr>
      <w:bookmarkStart w:id="1" w:name="_GoBack"/>
      <w:bookmarkEnd w:id="1"/>
      <w:r>
        <w:rPr>
          <w:rFonts w:eastAsia="方正仿宋简体" w:cs="Times New Roman"/>
          <w:szCs w:val="32"/>
          <w:lang w:eastAsia="zh-CN"/>
        </w:rPr>
        <w:t>附件</w:t>
      </w:r>
    </w:p>
    <w:p>
      <w:pPr>
        <w:ind w:firstLine="880"/>
        <w:jc w:val="center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江苏省第二批78种“1+X”职业技能等级证书考核费用标准</w:t>
      </w:r>
    </w:p>
    <w:p>
      <w:pPr>
        <w:spacing w:line="400" w:lineRule="exact"/>
        <w:ind w:firstLine="880"/>
        <w:jc w:val="center"/>
        <w:rPr>
          <w:rFonts w:ascii="方正小标宋简体" w:eastAsia="方正小标宋简体" w:cs="Times New Roman"/>
          <w:sz w:val="44"/>
          <w:szCs w:val="44"/>
          <w:lang w:eastAsia="zh-CN"/>
        </w:rPr>
      </w:pPr>
    </w:p>
    <w:tbl>
      <w:tblPr>
        <w:tblStyle w:val="8"/>
        <w:tblW w:w="139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475"/>
        <w:gridCol w:w="4665"/>
        <w:gridCol w:w="986"/>
        <w:gridCol w:w="992"/>
        <w:gridCol w:w="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bookmarkStart w:id="0" w:name="_Hlk90976567"/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4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46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培训评价组织名称</w:t>
            </w:r>
          </w:p>
        </w:tc>
        <w:tc>
          <w:tcPr>
            <w:tcW w:w="2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考核费用（元）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高级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eastAsia="黑体" w:cs="Times New Roman"/>
                <w:color w:val="000000"/>
                <w:sz w:val="22"/>
                <w:lang w:eastAsia="zh-CN"/>
              </w:rPr>
            </w:pPr>
            <w:r>
              <w:rPr>
                <w:rFonts w:eastAsia="黑体" w:cs="Times New Roman"/>
                <w:color w:val="000000"/>
                <w:sz w:val="22"/>
                <w:lang w:eastAsia="zh-CN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家庭农场畜禽养殖</w:t>
            </w:r>
          </w:p>
        </w:tc>
        <w:tc>
          <w:tcPr>
            <w:tcW w:w="4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北大荒农垦集团有限公司</w:t>
            </w:r>
          </w:p>
        </w:tc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8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家庭农场粮食生产经营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北大荒农垦集团有限公司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农业经济组织经营管理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北大荒农垦集团有限公司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化工精馏安全控制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北京化育求贤教育科技有限公司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262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化工危险与可操作性（</w:t>
            </w: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HAZOP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）分析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北京化育求贤教育科技有限公司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262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不动产数据采集与建库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福建金创利信息科技发展股份有限公司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化工设备检维修作业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秦皇岛博赫科技开发有限公司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建筑信息模型（</w:t>
            </w: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BIM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廊坊市中科建筑产业化创新研究中心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装配式建筑构件制作与安装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廊坊市中科建筑产业化创新研究中心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530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测绘地理信息数据获取与处理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广州南方测绘科技股份有限公司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376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测绘地理信息智能应用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广州南方测绘科技股份有限公司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338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土木工程混凝土材料检测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中国水利水电第八工程局有限公司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工程造价数字化应用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广联达科技股份有限公司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265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建筑工程施工工艺实施与管理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中铁二十局集团有限公司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169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全断面隧道掘进机操作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盾构及掘进技术国家重点实验室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建筑装饰装修数字化设计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壹仟零壹艺网络科技（北京）有限公司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403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室内设计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中国室内装饰协会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336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智能建造设计与集成应用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北京智能装配式建筑研究院有限公司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385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19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可编程控制器系统应用编程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无锡信捷电气股份有限公司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工业互联网实施与运维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江苏徐工信息技术股份有限公司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工业视觉系统运维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苏州富纳艾尔科技有限公司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470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药物制剂生产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江苏恒瑞医药股份有限公司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可食食品快速检验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广州汇标检测技术中心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460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食品合规管理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烟台富美特信息科技股份有限公司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药品购销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上海医药（集团）有限公司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365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415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汽车运用与维修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北京中车行高新技术有限公司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智能新能源汽车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北京中车行高新技术有限公司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汽车油漆调色与喷涂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北京祥龙博瑞汽车服务（集团）有限公司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29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城市轨道交通信号检修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广州城市轨道交通培训学院股份有限公司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城市轨道交通接触网维护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南京地铁集团有限公司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城市轨道交通通信设备维护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南京地铁集团有限公司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城市轨道交通线路维护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南京地铁集团有限公司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城市轨道交通车辆维护和保养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郑州捷安高科股份有限公司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列车运行控制系统车载设备运用与维护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北京和利时系统工程有限公司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列车运行控制系统现场信号设备运用与维护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北京和利时系统工程有限公司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邮轮运营服务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中船舰客教育科技（北京）有限公司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民航旅客地面服务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北京翔宇教育咨询有限公司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5G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网络优化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南京中兴信雅达信息科技有限公司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39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5G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移动网络运维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北京华晟经世信息技术有限公司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365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LED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显示屏应用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西安诺瓦星云科技股份有限公司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336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336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标准编审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北京中标赛宇科技有限公司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298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电子装联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快克智能装备股份有限公司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385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工业互联网网络运维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海尔智家股份有限公司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互联网内容风控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北京人民在线网络有限公司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集成电路开发与测试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杭州朗迅科技有限公司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299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人工智能前端设备应用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北京新奥时代科技有限责任公司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数字孪生城市建模与应用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北京智能装配式建筑研究院有限公司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网络安全运营平台管理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深信服科技股份有限公司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49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新媒体技术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南京奥派信息产业股份公司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云计算开发与运维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阿里巴巴（中国）有限公司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云计算中心运维服务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联想（北京）有限公司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智慧安防系统实施与运维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浙江宇视科技有限公司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智能硬件应用开发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北京电信规划设计院有限公司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大数据分析与应用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阿里巴巴（中国）有限公司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Web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前端开发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工业和信息化部教育与考试中心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大数据平台运维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新华三技术有限公司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数字化管理会计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上海管会教育培训有限公司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194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249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精算实务分析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中国精算师协会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59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金融产品数字化营销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1"/>
                <w:w w:val="78"/>
                <w:kern w:val="0"/>
                <w:sz w:val="28"/>
                <w:szCs w:val="28"/>
                <w:fitText w:val="3960" w:id="-1664891648"/>
                <w:lang w:eastAsia="zh-CN"/>
              </w:rPr>
              <w:t>清控紫荆（北京）教育科技股份有限公</w:t>
            </w:r>
            <w:r>
              <w:rPr>
                <w:rFonts w:hint="eastAsia" w:ascii="仿宋_GB2312" w:cs="仿宋_GB2312"/>
                <w:color w:val="000000"/>
                <w:spacing w:val="41"/>
                <w:w w:val="78"/>
                <w:kern w:val="0"/>
                <w:sz w:val="28"/>
                <w:szCs w:val="28"/>
                <w:fitText w:val="3960" w:id="-1664891648"/>
                <w:lang w:eastAsia="zh-CN"/>
              </w:rPr>
              <w:t>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业财税融合成本管控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湖南中德安普大数据网络科技有限公司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269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个税计算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浙江衡信教育科技有限公司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199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207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融媒体内容制作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北京乐享云创科技有限公司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媒体融合运营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北京人民在线网络有限公司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汽车电商服务平台运营与管理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北京运华科技发展有限公司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跨境电商海外营销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北京中清研信息技术研究院有限公司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255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跨境电子商务多平台运营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厦门优优汇联信息科技有限公司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供应链数据分析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物产中大集团股份有限公司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网络直播运营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中广协广告信息文化传播有限责任公司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69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餐饮服务管理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北京首都旅游集团有限责任公司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70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定制旅行管家服务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携程旅游网络技术（上海）有限公司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71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旅行策划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中国旅游协会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72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前厅运营管理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北京首都旅游集团有限责任公司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73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现代酒店服务质量管理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华住酒店管理有限公司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74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粤菜制作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广东省餐饮技师协会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75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粤点制作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广东省餐饮技师协会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76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界面设计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腾讯云计算（北京）有限责任公司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77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数字创意建模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浙江中科视传科技有限公司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cs="Times New Roman"/>
                <w:color w:val="000000"/>
                <w:sz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lang w:eastAsia="zh-CN"/>
              </w:rPr>
              <w:t>78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数字媒体交互设计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both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eastAsia="zh-CN"/>
              </w:rPr>
              <w:t>凤凰新联合（北京）教育科技有限公司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40" w:lineRule="exact"/>
              <w:ind w:firstLine="0" w:firstLineChars="0"/>
              <w:jc w:val="center"/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eastAsia="zh-CN"/>
              </w:rPr>
              <w:t>290</w:t>
            </w:r>
          </w:p>
        </w:tc>
      </w:tr>
    </w:tbl>
    <w:p>
      <w:pPr>
        <w:ind w:firstLine="0" w:firstLineChars="0"/>
        <w:rPr>
          <w:rFonts w:eastAsia="方正仿宋简体" w:cs="Times New Roman"/>
          <w:sz w:val="24"/>
          <w:szCs w:val="24"/>
          <w:lang w:eastAsia="zh-CN"/>
        </w:rPr>
      </w:pPr>
    </w:p>
    <w:sectPr>
      <w:headerReference r:id="rId5" w:type="default"/>
      <w:footerReference r:id="rId6" w:type="default"/>
      <w:pgSz w:w="16840" w:h="11910" w:orient="landscape"/>
      <w:pgMar w:top="1100" w:right="1321" w:bottom="278" w:left="1338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70"/>
    <w:rsid w:val="00091FB0"/>
    <w:rsid w:val="000F228D"/>
    <w:rsid w:val="000F525F"/>
    <w:rsid w:val="001A18DB"/>
    <w:rsid w:val="00244323"/>
    <w:rsid w:val="0025404A"/>
    <w:rsid w:val="00332125"/>
    <w:rsid w:val="003841EA"/>
    <w:rsid w:val="003D4A7E"/>
    <w:rsid w:val="00431906"/>
    <w:rsid w:val="00455E70"/>
    <w:rsid w:val="00545FC3"/>
    <w:rsid w:val="00697959"/>
    <w:rsid w:val="00760E0C"/>
    <w:rsid w:val="00884E23"/>
    <w:rsid w:val="00925F7E"/>
    <w:rsid w:val="00955A44"/>
    <w:rsid w:val="00962635"/>
    <w:rsid w:val="00B119A1"/>
    <w:rsid w:val="00B3649E"/>
    <w:rsid w:val="00B92B0C"/>
    <w:rsid w:val="00E44448"/>
    <w:rsid w:val="00E90EAE"/>
    <w:rsid w:val="00FE61C3"/>
    <w:rsid w:val="6FD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8" w:lineRule="exact"/>
      <w:ind w:firstLine="200" w:firstLineChars="200"/>
    </w:pPr>
    <w:rPr>
      <w:rFonts w:ascii="Times New Roman" w:hAnsi="Times New Roman" w:eastAsia="仿宋_GB2312" w:cs="宋体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640" w:lineRule="atLeas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Cs w:val="32"/>
    </w:rPr>
  </w:style>
  <w:style w:type="paragraph" w:styleId="4">
    <w:name w:val="Balloon Text"/>
    <w:basedOn w:val="1"/>
    <w:link w:val="1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0"/>
    <w:pPr>
      <w:spacing w:before="204"/>
      <w:ind w:left="971" w:right="1033" w:firstLine="208"/>
    </w:pPr>
    <w:rPr>
      <w:rFonts w:ascii="Microsoft YaHei UI" w:hAnsi="Microsoft YaHei UI" w:eastAsia="Microsoft YaHei UI" w:cs="Microsoft YaHei UI"/>
      <w:sz w:val="36"/>
      <w:szCs w:val="36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"/>
      <w:ind w:left="208" w:right="264" w:firstLine="638"/>
      <w:jc w:val="both"/>
    </w:pPr>
    <w:rPr>
      <w:rFonts w:ascii="仿宋" w:hAnsi="仿宋" w:eastAsia="仿宋" w:cs="仿宋"/>
    </w:rPr>
  </w:style>
  <w:style w:type="paragraph" w:customStyle="1" w:styleId="13">
    <w:name w:val="Table Paragraph"/>
    <w:basedOn w:val="1"/>
    <w:qFormat/>
    <w:uiPriority w:val="1"/>
    <w:pPr>
      <w:jc w:val="center"/>
    </w:pPr>
  </w:style>
  <w:style w:type="character" w:customStyle="1" w:styleId="14">
    <w:name w:val="页眉 Char"/>
    <w:basedOn w:val="9"/>
    <w:link w:val="6"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标题 1 Char"/>
    <w:basedOn w:val="9"/>
    <w:link w:val="2"/>
    <w:uiPriority w:val="9"/>
    <w:rPr>
      <w:rFonts w:ascii="Times New Roman" w:hAnsi="Times New Roman" w:eastAsia="方正小标宋简体" w:cs="宋体"/>
      <w:bCs/>
      <w:kern w:val="44"/>
      <w:sz w:val="44"/>
      <w:szCs w:val="44"/>
    </w:rPr>
  </w:style>
  <w:style w:type="character" w:customStyle="1" w:styleId="17">
    <w:name w:val="批注框文本 Char"/>
    <w:basedOn w:val="9"/>
    <w:link w:val="4"/>
    <w:semiHidden/>
    <w:uiPriority w:val="99"/>
    <w:rPr>
      <w:rFonts w:ascii="Times New Roman" w:hAnsi="Times New Roman"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D3BF5-317A-4716-8624-B56EA6919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6</Pages>
  <Words>531</Words>
  <Characters>3030</Characters>
  <Lines>25</Lines>
  <Paragraphs>7</Paragraphs>
  <TotalTime>8</TotalTime>
  <ScaleCrop>false</ScaleCrop>
  <LinksUpToDate>false</LinksUpToDate>
  <CharactersWithSpaces>3554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2021-12-24T06:59:00Z</dcterms:created>
  <dc:creator>Administrator</dc:creator>
  <cp:lastModifiedBy>TQueen</cp:lastModifiedBy>
  <cp:lastPrinted>2021-05-27T10:47:00Z</cp:lastPrinted>
  <dcterms:modified xsi:type="dcterms:W3CDTF">2021-12-24T07:39:10Z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2021-05-18T00:00:00Z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239F27C1F4AC4FC7B0F7268D898A0A2A</vt:lpwstr>
  </property>
</Properties>
</file>